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楷体" w:hAnsi="楷体" w:eastAsia="楷体"/>
          <w:color w:val="000000"/>
          <w:sz w:val="32"/>
          <w:szCs w:val="32"/>
        </w:rPr>
      </w:pPr>
      <w:bookmarkStart w:id="0" w:name="_GoBack"/>
      <w:bookmarkEnd w:id="0"/>
      <w:r>
        <w:rPr>
          <w:rFonts w:ascii="楷体" w:hAnsi="楷体" w:eastAsia="楷体"/>
          <w:color w:val="000000"/>
          <w:sz w:val="32"/>
          <w:szCs w:val="32"/>
        </w:rPr>
        <w:t>附件2</w:t>
      </w:r>
    </w:p>
    <w:p>
      <w:pPr>
        <w:spacing w:line="520" w:lineRule="exact"/>
        <w:jc w:val="center"/>
        <w:rPr>
          <w:rFonts w:ascii="Times New Roman" w:hAnsi="Times New Roman" w:eastAsia="华文中宋"/>
          <w:color w:val="000000"/>
          <w:sz w:val="36"/>
          <w:szCs w:val="36"/>
        </w:rPr>
      </w:pPr>
      <w:r>
        <w:rPr>
          <w:rFonts w:ascii="Times New Roman" w:hAnsi="华文中宋" w:eastAsia="华文中宋"/>
          <w:color w:val="000000"/>
          <w:sz w:val="36"/>
          <w:szCs w:val="36"/>
        </w:rPr>
        <w:t>国际中文教师奖学金资助内容及标准</w:t>
      </w:r>
    </w:p>
    <w:p>
      <w:pPr>
        <w:spacing w:line="520" w:lineRule="exact"/>
        <w:jc w:val="center"/>
        <w:rPr>
          <w:rFonts w:ascii="Times New Roman" w:hAnsi="Times New Roman" w:eastAsia="华文中宋"/>
          <w:color w:val="000000"/>
          <w:sz w:val="36"/>
          <w:szCs w:val="36"/>
        </w:rPr>
      </w:pPr>
    </w:p>
    <w:p>
      <w:pPr>
        <w:spacing w:line="52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奖学金资助内容包括：学费、住宿费、生活费（四周研修生除外）和综合医疗保险费。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1.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_GB2312"/>
          <w:color w:val="000000"/>
          <w:sz w:val="32"/>
          <w:szCs w:val="32"/>
        </w:rPr>
        <w:t>学费由接收院校统筹用于奖学金生的培养与管理，开展文化活动，组织参加汉语考试等。奖学金线上项目仅资助学费。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2.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_GB2312"/>
          <w:color w:val="000000"/>
          <w:sz w:val="32"/>
          <w:szCs w:val="32"/>
        </w:rPr>
        <w:t>住宿费由接收院校统筹使用，为学生提供免费宿舍， 一般为双人间；经奖学金生申请、接收院校批准，选择校外住宿者，由学校按月或季度发放住宿费，博士生标准为1000元人民币/月，其他类奖学金生为700元人民币/月。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3.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_GB2312"/>
          <w:color w:val="000000"/>
          <w:sz w:val="32"/>
          <w:szCs w:val="32"/>
        </w:rPr>
        <w:t>生活费由接收院校按月发放。本科生、一学年和一学期研修生标准为 2500元人民币/月；国际中文教育专业硕士生为3000元人民币/月；国际中文教育专业博士生为3500元人民币/月。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奖学金生按接收院校录取通知书规定的时间入学报到，否则取消奖学金资格。当月15日（含15日）前到校注册者，当月发放全额生活费；15日以后注册者，当月发放半月生活费。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奖学金生在学期间（不含寒暑假）因个人原因离开中国时间超过15天者，停发离华期间生活费。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奖学金生因个人原因休学、退学或受接收院校纪律处分者，停发自休学、退学或接到处分通知之日起的生活费。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毕（结）业生的生活费发放至学校确定的毕（结）业日期后的半个月。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4.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_GB2312"/>
          <w:color w:val="000000"/>
          <w:sz w:val="32"/>
          <w:szCs w:val="32"/>
        </w:rPr>
        <w:t>综合医疗保险费参照中国教育部来华留学有关规定执行，由接收院校统一购买。四周研修生标准为160元人民币/人，一学期研修生为400元人民币/人，一学年以上标准为800元人民币/年/人。</w:t>
      </w:r>
    </w:p>
    <w:p>
      <w:pPr>
        <w:spacing w:line="520" w:lineRule="exac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Verdana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7730C1"/>
    <w:rsid w:val="6E77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2023-02-24T09:57:00Z</dcterms:created>
  <dc:creator>air</dc:creator>
  <cp:lastModifiedBy>air</cp:lastModifiedBy>
  <dcterms:modified xsi:type="dcterms:W3CDTF">2023-02-24T09:58:10Z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